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40F8D" w14:textId="0E022BDF" w:rsidR="00D3063E" w:rsidRDefault="00D3063E" w:rsidP="00D3063E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2F2F4A">
        <w:t>72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2F2F4A">
        <w:t>73</w:t>
      </w:r>
      <w:r>
        <w:rPr>
          <w:rFonts w:hint="eastAsia"/>
        </w:rPr>
        <w:t>：</w:t>
      </w:r>
      <w:hyperlink r:id="rId6" w:history="1">
        <w:r w:rsidR="002F2F4A">
          <w:rPr>
            <w:rStyle w:val="af8"/>
          </w:rPr>
          <w:t>https://www.bilibili.com/video/BV1AY411E7GC?p=72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2F234871" w:rsidR="00251235" w:rsidRDefault="00C25641" w:rsidP="00932B74">
      <w:pPr>
        <w:pStyle w:val="1"/>
      </w:pPr>
      <w:r>
        <w:rPr>
          <w:rFonts w:hint="eastAsia"/>
        </w:rPr>
        <w:t>单缓冲和双缓冲</w:t>
      </w:r>
      <w:r w:rsidR="00EF5592">
        <w:rPr>
          <w:rFonts w:hint="eastAsia"/>
        </w:rPr>
        <w:t>解析</w:t>
      </w:r>
    </w:p>
    <w:p w14:paraId="7DAB78A3" w14:textId="77777777" w:rsidR="003036E7" w:rsidRPr="00CC1395" w:rsidRDefault="003036E7" w:rsidP="003036E7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t>假设磁盘块与缓冲区大小相同，每个盘块读入缓冲区的时间为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10</m:t>
        </m:r>
        <m:r>
          <m:rPr>
            <m:nor/>
          </m:rPr>
          <w:rPr>
            <w:rFonts w:ascii="Cambria Math" w:hAnsi="Cambria Math"/>
            <w:sz w:val="24"/>
            <w:szCs w:val="24"/>
            <w:u w:val="single"/>
          </w:rPr>
          <m:t>μs</m:t>
        </m:r>
      </m:oMath>
      <w:r w:rsidRPr="00CC1395">
        <w:rPr>
          <w:rFonts w:asciiTheme="minorEastAsia" w:hAnsiTheme="minorEastAsia" w:hint="eastAsia"/>
        </w:rPr>
        <w:t>，由缓冲区送至用户区的时间是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5</m:t>
        </m:r>
        <m:r>
          <m:rPr>
            <m:nor/>
          </m:rPr>
          <w:rPr>
            <w:rFonts w:ascii="Cambria Math" w:hAnsi="Cambria Math"/>
            <w:sz w:val="24"/>
            <w:szCs w:val="24"/>
            <w:u w:val="single"/>
          </w:rPr>
          <m:t>μs</m:t>
        </m:r>
      </m:oMath>
      <w:r w:rsidRPr="00CC1395">
        <w:rPr>
          <w:rFonts w:asciiTheme="minorEastAsia" w:hAnsiTheme="minorEastAsia" w:hint="eastAsia"/>
        </w:rPr>
        <w:t>，系统对每个磁盘块数据的处理时间为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2</m:t>
        </m:r>
        <m:r>
          <m:rPr>
            <m:nor/>
          </m:rPr>
          <w:rPr>
            <w:rFonts w:ascii="Cambria Math" w:hAnsi="Cambria Math"/>
            <w:sz w:val="24"/>
            <w:szCs w:val="24"/>
            <w:u w:val="single"/>
          </w:rPr>
          <m:t>μs</m:t>
        </m:r>
      </m:oMath>
      <w:r w:rsidRPr="00CC1395">
        <w:rPr>
          <w:rFonts w:asciiTheme="minorEastAsia" w:hAnsiTheme="minorEastAsia" w:hint="eastAsia"/>
        </w:rPr>
        <w:t>。若用户需要将大小为</w:t>
      </w:r>
      <w:r w:rsidRPr="007E420F">
        <w:rPr>
          <w:rFonts w:hint="eastAsia"/>
        </w:rPr>
        <w:t>10</w:t>
      </w:r>
      <w:r w:rsidRPr="00CC1395">
        <w:rPr>
          <w:rFonts w:asciiTheme="minorEastAsia" w:hAnsiTheme="minorEastAsia" w:hint="eastAsia"/>
        </w:rPr>
        <w:t>个磁盘块的</w:t>
      </w:r>
      <w:r w:rsidRPr="007E420F">
        <w:rPr>
          <w:rFonts w:hint="eastAsia"/>
        </w:rPr>
        <w:t>Docl</w:t>
      </w:r>
      <w:r w:rsidRPr="00CC1395">
        <w:rPr>
          <w:rFonts w:asciiTheme="minorEastAsia" w:hAnsiTheme="minorEastAsia" w:hint="eastAsia"/>
        </w:rPr>
        <w:t>文件逐块从磁盘读入缓冲区，并送至用户区进行处理，那么采用单缓冲区需要花费的时间为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  <w:u w:val="single"/>
          </w:rPr>
          <m:t>μs</m:t>
        </m:r>
      </m:oMath>
      <w:r w:rsidRPr="00CC1395">
        <w:rPr>
          <w:rFonts w:asciiTheme="minorEastAsia" w:hAnsiTheme="minorEastAsia" w:hint="eastAsia"/>
        </w:rPr>
        <w:t>；采用双缓冲区需要花费的时间为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μs</m:t>
        </m:r>
      </m:oMath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363FF5D5" w14:textId="77777777" w:rsidR="003036E7" w:rsidRPr="00CC1395" w:rsidRDefault="003036E7" w:rsidP="003036E7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100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B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107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8371C2">
        <w:rPr>
          <w:highlight w:val="yellow"/>
        </w:rPr>
        <w:t>C</w:t>
      </w:r>
      <w:r w:rsidRPr="008371C2">
        <w:rPr>
          <w:rFonts w:ascii="Consolas" w:hAnsi="Consolas"/>
          <w:highlight w:val="yellow"/>
        </w:rPr>
        <w:t xml:space="preserve">. </w:t>
      </w:r>
      <w:r w:rsidRPr="008371C2">
        <w:rPr>
          <w:highlight w:val="yellow"/>
        </w:rPr>
        <w:t>152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D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170</w:t>
      </w:r>
    </w:p>
    <w:p w14:paraId="4EC6C684" w14:textId="77777777" w:rsidR="003036E7" w:rsidRDefault="003036E7" w:rsidP="003036E7">
      <w:pPr>
        <w:ind w:firstLineChars="200"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26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8371C2">
        <w:rPr>
          <w:highlight w:val="yellow"/>
        </w:rPr>
        <w:t>B</w:t>
      </w:r>
      <w:r w:rsidRPr="008371C2">
        <w:rPr>
          <w:rFonts w:ascii="Consolas" w:hAnsi="Consolas"/>
          <w:highlight w:val="yellow"/>
        </w:rPr>
        <w:t xml:space="preserve">. </w:t>
      </w:r>
      <w:r w:rsidRPr="008371C2">
        <w:rPr>
          <w:highlight w:val="yellow"/>
        </w:rPr>
        <w:t>107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C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152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D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170</w:t>
      </w:r>
    </w:p>
    <w:p w14:paraId="3ABAA380" w14:textId="77777777" w:rsidR="003036E7" w:rsidRDefault="003036E7" w:rsidP="003036E7">
      <w:r>
        <w:rPr>
          <w:noProof/>
        </w:rPr>
        <w:lastRenderedPageBreak/>
        <w:drawing>
          <wp:inline distT="0" distB="0" distL="0" distR="0" wp14:anchorId="38441B81" wp14:editId="27E007E5">
            <wp:extent cx="5274310" cy="5424170"/>
            <wp:effectExtent l="0" t="0" r="2540" b="508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2E68" w14:textId="77777777" w:rsidR="003036E7" w:rsidRDefault="003036E7" w:rsidP="003036E7">
      <w:r>
        <w:rPr>
          <w:noProof/>
        </w:rPr>
        <w:drawing>
          <wp:inline distT="0" distB="0" distL="0" distR="0" wp14:anchorId="589BA279" wp14:editId="65B4E455">
            <wp:extent cx="5274310" cy="2478405"/>
            <wp:effectExtent l="0" t="0" r="254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6CB57523" w:rsidR="00251235" w:rsidRDefault="00251235" w:rsidP="00251235"/>
    <w:p w14:paraId="5D7C8B58" w14:textId="77777777" w:rsidR="003036E7" w:rsidRPr="00397CEC" w:rsidRDefault="003036E7" w:rsidP="003036E7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lastRenderedPageBreak/>
        <w:t>假设磁盘块与缓冲区大小相同，每个盘块读入缓冲区的时间为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15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μ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，由缓冲区送至用户区的时间是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5μ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，在用户区内系统对每块数据的处理时间为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1μ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，若用户需要将大小为</w:t>
      </w:r>
      <w:r w:rsidRPr="007E420F">
        <w:rPr>
          <w:rFonts w:hint="eastAsia"/>
        </w:rPr>
        <w:t>10</w:t>
      </w:r>
      <w:r w:rsidRPr="00397CEC">
        <w:rPr>
          <w:rFonts w:asciiTheme="minorEastAsia" w:hAnsiTheme="minorEastAsia" w:hint="eastAsia"/>
        </w:rPr>
        <w:t>个磁盘块的</w:t>
      </w:r>
      <w:r w:rsidRPr="007E420F">
        <w:rPr>
          <w:rFonts w:hint="eastAsia"/>
        </w:rPr>
        <w:t>Doc1</w:t>
      </w:r>
      <w:r w:rsidRPr="00397CEC">
        <w:rPr>
          <w:rFonts w:asciiTheme="minorEastAsia" w:hAnsiTheme="minorEastAsia" w:hint="eastAsia"/>
        </w:rPr>
        <w:t>文件逐块从磁盘读入缓冲区，并送至用户区进行处理，那么采用单缓冲区需要花费的时间为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；采用双缓冲区需要花费的时间为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s</m:t>
        </m:r>
      </m:oMath>
      <w:r w:rsidRPr="00397CEC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0DFAA7C2" w14:textId="77777777" w:rsidR="003036E7" w:rsidRPr="00397CEC" w:rsidRDefault="003036E7" w:rsidP="003036E7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25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150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B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151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C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156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F74203">
        <w:rPr>
          <w:highlight w:val="yellow"/>
        </w:rPr>
        <w:t>D</w:t>
      </w:r>
      <w:r w:rsidRPr="00F74203">
        <w:rPr>
          <w:rFonts w:ascii="Consolas" w:hAnsi="Consolas"/>
          <w:highlight w:val="yellow"/>
        </w:rPr>
        <w:t xml:space="preserve">. </w:t>
      </w:r>
      <w:r w:rsidRPr="00F74203">
        <w:rPr>
          <w:highlight w:val="yellow"/>
        </w:rPr>
        <w:t>201</w:t>
      </w:r>
    </w:p>
    <w:p w14:paraId="64026975" w14:textId="77777777" w:rsidR="003036E7" w:rsidRDefault="003036E7" w:rsidP="003036E7">
      <w:pPr>
        <w:ind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26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150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B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151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F74203">
        <w:rPr>
          <w:highlight w:val="yellow"/>
        </w:rPr>
        <w:t>C</w:t>
      </w:r>
      <w:r w:rsidRPr="00F74203">
        <w:rPr>
          <w:rFonts w:ascii="Consolas" w:hAnsi="Consolas"/>
          <w:highlight w:val="yellow"/>
        </w:rPr>
        <w:t xml:space="preserve">. </w:t>
      </w:r>
      <w:r w:rsidRPr="00F74203">
        <w:rPr>
          <w:highlight w:val="yellow"/>
        </w:rPr>
        <w:t>156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t>D</w:t>
      </w:r>
      <w:r w:rsidRPr="00CA27E9">
        <w:rPr>
          <w:rFonts w:ascii="Consolas" w:hAnsi="Consolas"/>
        </w:rPr>
        <w:t>.</w:t>
      </w:r>
      <w:r w:rsidRPr="0072537C">
        <w:rPr>
          <w:rFonts w:ascii="Consolas" w:hAnsi="Consolas"/>
        </w:rPr>
        <w:t xml:space="preserve"> </w:t>
      </w:r>
      <w:r w:rsidRPr="007E420F">
        <w:t>201</w:t>
      </w:r>
    </w:p>
    <w:p w14:paraId="4B949F3F" w14:textId="77777777" w:rsidR="003036E7" w:rsidRDefault="003036E7" w:rsidP="003036E7">
      <w:r>
        <w:rPr>
          <w:noProof/>
        </w:rPr>
        <w:drawing>
          <wp:inline distT="0" distB="0" distL="0" distR="0" wp14:anchorId="71C4BC16" wp14:editId="23709101">
            <wp:extent cx="5274310" cy="523811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0363" w14:textId="77777777" w:rsidR="003036E7" w:rsidRDefault="003036E7" w:rsidP="003036E7">
      <w:r>
        <w:rPr>
          <w:noProof/>
        </w:rPr>
        <w:lastRenderedPageBreak/>
        <w:drawing>
          <wp:inline distT="0" distB="0" distL="0" distR="0" wp14:anchorId="30779454" wp14:editId="7682207F">
            <wp:extent cx="5274310" cy="22796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A7B8" w14:textId="77777777" w:rsidR="00994E2D" w:rsidRDefault="00994E2D" w:rsidP="00251235"/>
    <w:sectPr w:rsidR="00994E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BF424" w14:textId="77777777" w:rsidR="00FE3DC8" w:rsidRDefault="00FE3DC8" w:rsidP="00C4528D">
      <w:pPr>
        <w:spacing w:line="240" w:lineRule="auto"/>
      </w:pPr>
      <w:r>
        <w:separator/>
      </w:r>
    </w:p>
  </w:endnote>
  <w:endnote w:type="continuationSeparator" w:id="0">
    <w:p w14:paraId="4671DFCB" w14:textId="77777777" w:rsidR="00FE3DC8" w:rsidRDefault="00FE3DC8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77CEC" w14:textId="77777777" w:rsidR="00FE3DC8" w:rsidRDefault="00FE3DC8" w:rsidP="00C4528D">
      <w:pPr>
        <w:spacing w:line="240" w:lineRule="auto"/>
      </w:pPr>
      <w:r>
        <w:separator/>
      </w:r>
    </w:p>
  </w:footnote>
  <w:footnote w:type="continuationSeparator" w:id="0">
    <w:p w14:paraId="53D87DE5" w14:textId="77777777" w:rsidR="00FE3DC8" w:rsidRDefault="00FE3DC8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421CD"/>
    <w:rsid w:val="000B14ED"/>
    <w:rsid w:val="000E1563"/>
    <w:rsid w:val="0013160E"/>
    <w:rsid w:val="001522D8"/>
    <w:rsid w:val="001A7368"/>
    <w:rsid w:val="002115FF"/>
    <w:rsid w:val="00227A3B"/>
    <w:rsid w:val="00251235"/>
    <w:rsid w:val="002F2F4A"/>
    <w:rsid w:val="003036E7"/>
    <w:rsid w:val="00335511"/>
    <w:rsid w:val="003F34B9"/>
    <w:rsid w:val="003F42F0"/>
    <w:rsid w:val="00467870"/>
    <w:rsid w:val="004B50B7"/>
    <w:rsid w:val="0054227B"/>
    <w:rsid w:val="005431FC"/>
    <w:rsid w:val="005E32A7"/>
    <w:rsid w:val="0075710B"/>
    <w:rsid w:val="007A418F"/>
    <w:rsid w:val="00832588"/>
    <w:rsid w:val="008343F4"/>
    <w:rsid w:val="00932B74"/>
    <w:rsid w:val="00994E2D"/>
    <w:rsid w:val="009C66A1"/>
    <w:rsid w:val="00AB5C6D"/>
    <w:rsid w:val="00AE5D92"/>
    <w:rsid w:val="00AF466E"/>
    <w:rsid w:val="00B978A0"/>
    <w:rsid w:val="00BC5959"/>
    <w:rsid w:val="00BD3BD0"/>
    <w:rsid w:val="00BF76B2"/>
    <w:rsid w:val="00C25641"/>
    <w:rsid w:val="00C4528D"/>
    <w:rsid w:val="00C941D7"/>
    <w:rsid w:val="00CF783A"/>
    <w:rsid w:val="00D0263F"/>
    <w:rsid w:val="00D3063E"/>
    <w:rsid w:val="00D83265"/>
    <w:rsid w:val="00E025CF"/>
    <w:rsid w:val="00EF5592"/>
    <w:rsid w:val="00F050ED"/>
    <w:rsid w:val="00F24FDC"/>
    <w:rsid w:val="00FA7955"/>
    <w:rsid w:val="00FB2970"/>
    <w:rsid w:val="00FE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Y411E7GC?p=72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27</cp:revision>
  <dcterms:created xsi:type="dcterms:W3CDTF">2021-12-30T17:32:00Z</dcterms:created>
  <dcterms:modified xsi:type="dcterms:W3CDTF">2022-04-26T05:48:00Z</dcterms:modified>
</cp:coreProperties>
</file>